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CA77" w14:textId="77777777" w:rsidR="00465CD4" w:rsidRDefault="009873CA" w:rsidP="009873CA">
      <w:pPr>
        <w:pStyle w:val="52AheadHeadingsHeadingstyles"/>
      </w:pPr>
      <w:r>
        <w:t>Headline</w:t>
      </w:r>
    </w:p>
    <w:p w14:paraId="1EDE3B55" w14:textId="77777777" w:rsidR="009873CA" w:rsidRDefault="009873CA"/>
    <w:p w14:paraId="4E96E858" w14:textId="1828F8BF" w:rsidR="009873CA" w:rsidRDefault="009873CA" w:rsidP="009873CA">
      <w:pPr>
        <w:pStyle w:val="52AheadHeadingsHeadingstyles"/>
      </w:pPr>
      <w:r>
        <w:t>Keywords</w:t>
      </w:r>
    </w:p>
    <w:p w14:paraId="76DB7CFE" w14:textId="38DF2EB4" w:rsidR="005C0A16" w:rsidRPr="005C0A16" w:rsidRDefault="005C0A16" w:rsidP="005C0A16">
      <w:r w:rsidRPr="213CEFC4">
        <w:rPr>
          <w:rFonts w:cs="Arial"/>
          <w:sz w:val="18"/>
          <w:szCs w:val="18"/>
        </w:rPr>
        <w:t>HYPERCHOLESTEROLAEMIA; HYPERLIPOPROTEINEMIA TYPE II; CARDIOVASCULAR DISEASES; GENETIC TESTING; CHOLESTEROL; HEART DISEASE RISK FACTORS; PEDIGREE</w:t>
      </w:r>
    </w:p>
    <w:sectPr w:rsidR="005C0A16" w:rsidRPr="005C0A16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1A3B5F"/>
    <w:rsid w:val="00465CD4"/>
    <w:rsid w:val="005C0A16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53F380DE-6C2A-FB4F-B4CD-23CC242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88007940-9433-48D2-A334-A10468F06388}"/>
</file>

<file path=customXml/itemProps2.xml><?xml version="1.0" encoding="utf-8"?>
<ds:datastoreItem xmlns:ds="http://schemas.openxmlformats.org/officeDocument/2006/customXml" ds:itemID="{34FF7E46-9525-4F35-A483-6674ED7E3BDF}"/>
</file>

<file path=customXml/itemProps3.xml><?xml version="1.0" encoding="utf-8"?>
<ds:datastoreItem xmlns:ds="http://schemas.openxmlformats.org/officeDocument/2006/customXml" ds:itemID="{3FDF8318-9F9A-4384-8816-949773085F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2022-07-08T11:01:00Z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